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268E1" w14:textId="468BE8A8" w:rsidR="00824403" w:rsidRDefault="00824403" w:rsidP="00824403">
      <w:pPr>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一般关联交易的信息披露</w:t>
      </w:r>
    </w:p>
    <w:p w14:paraId="6BDDC3CC" w14:textId="77777777" w:rsidR="00824403" w:rsidRDefault="00824403" w:rsidP="00824403">
      <w:pPr>
        <w:jc w:val="center"/>
        <w:rPr>
          <w:rFonts w:ascii="仿宋" w:eastAsia="仿宋" w:hAnsi="仿宋" w:hint="eastAsia"/>
        </w:rPr>
      </w:pPr>
    </w:p>
    <w:p w14:paraId="37771AB9" w14:textId="4DA9B7F1" w:rsidR="003770E1" w:rsidRPr="00824403" w:rsidRDefault="003770E1" w:rsidP="00824403">
      <w:pPr>
        <w:adjustRightInd w:val="0"/>
        <w:snapToGrid w:val="0"/>
        <w:spacing w:line="600" w:lineRule="exact"/>
        <w:ind w:firstLineChars="200" w:firstLine="640"/>
        <w:rPr>
          <w:rFonts w:ascii="仿宋_GB2312" w:eastAsia="仿宋_GB2312" w:hAnsi="仿宋" w:hint="eastAsia"/>
          <w:sz w:val="32"/>
          <w:szCs w:val="32"/>
          <w14:ligatures w14:val="none"/>
        </w:rPr>
      </w:pPr>
      <w:r w:rsidRPr="00824403">
        <w:rPr>
          <w:rFonts w:ascii="仿宋_GB2312" w:eastAsia="仿宋_GB2312" w:hAnsi="仿宋" w:hint="eastAsia"/>
          <w:sz w:val="32"/>
          <w:szCs w:val="32"/>
          <w14:ligatures w14:val="none"/>
        </w:rPr>
        <w:t>根据《银行保险机构关联交易管理办法》（银保监会〔2022〕1号）相关规定，现将中诚信托有限责任公司（以下简称“中诚信托”或“公司”）一般关联交易披露如下：</w:t>
      </w:r>
    </w:p>
    <w:p w14:paraId="6F48FADA" w14:textId="77777777" w:rsidR="003770E1" w:rsidRPr="00824403" w:rsidRDefault="003770E1" w:rsidP="00824403">
      <w:pPr>
        <w:adjustRightInd w:val="0"/>
        <w:snapToGrid w:val="0"/>
        <w:spacing w:line="600" w:lineRule="exact"/>
        <w:ind w:firstLineChars="200" w:firstLine="640"/>
        <w:rPr>
          <w:rFonts w:ascii="黑体" w:eastAsia="黑体" w:hAnsi="黑体" w:hint="eastAsia"/>
          <w:sz w:val="32"/>
          <w:szCs w:val="32"/>
          <w14:ligatures w14:val="none"/>
        </w:rPr>
      </w:pPr>
      <w:r w:rsidRPr="00824403">
        <w:rPr>
          <w:rFonts w:ascii="黑体" w:eastAsia="黑体" w:hAnsi="黑体" w:hint="eastAsia"/>
          <w:sz w:val="32"/>
          <w:szCs w:val="32"/>
          <w14:ligatures w14:val="none"/>
        </w:rPr>
        <w:t>一、关联交易概述</w:t>
      </w:r>
    </w:p>
    <w:p w14:paraId="5DCC809E" w14:textId="1F7DAF4F" w:rsidR="003770E1" w:rsidRPr="00824403" w:rsidRDefault="003770E1" w:rsidP="00824403">
      <w:pPr>
        <w:adjustRightInd w:val="0"/>
        <w:snapToGrid w:val="0"/>
        <w:spacing w:line="600" w:lineRule="exact"/>
        <w:ind w:firstLineChars="200" w:firstLine="640"/>
        <w:rPr>
          <w:rFonts w:ascii="仿宋_GB2312" w:eastAsia="仿宋_GB2312" w:hAnsi="仿宋" w:hint="eastAsia"/>
          <w:sz w:val="32"/>
          <w:szCs w:val="32"/>
          <w14:ligatures w14:val="none"/>
        </w:rPr>
      </w:pPr>
      <w:r w:rsidRPr="00824403">
        <w:rPr>
          <w:rFonts w:ascii="仿宋_GB2312" w:eastAsia="仿宋_GB2312" w:hAnsi="仿宋" w:hint="eastAsia"/>
          <w:sz w:val="32"/>
          <w:szCs w:val="32"/>
          <w14:ligatures w14:val="none"/>
        </w:rPr>
        <w:t>中国银行股份有限公司广东省分行为公司发行的“2024年中诚信托鹏诚3号集合资金信托计划”提供资金保管服务；中国银行股份有限公司广州珠江支行为公司发行的“2024年中诚信托鹏诚3号集合资金信托计划”提供</w:t>
      </w:r>
      <w:r w:rsidR="000026DC" w:rsidRPr="00824403">
        <w:rPr>
          <w:rFonts w:ascii="仿宋_GB2312" w:eastAsia="仿宋_GB2312" w:hAnsi="仿宋" w:hint="eastAsia"/>
          <w:sz w:val="32"/>
          <w:szCs w:val="32"/>
          <w14:ligatures w14:val="none"/>
        </w:rPr>
        <w:t>借款人专用账户的账户监管</w:t>
      </w:r>
      <w:r w:rsidRPr="00824403">
        <w:rPr>
          <w:rFonts w:ascii="仿宋_GB2312" w:eastAsia="仿宋_GB2312" w:hAnsi="仿宋" w:hint="eastAsia"/>
          <w:sz w:val="32"/>
          <w:szCs w:val="32"/>
          <w14:ligatures w14:val="none"/>
        </w:rPr>
        <w:t>服务。截至目前，该信托计划共募集信托资金3亿元。</w:t>
      </w:r>
    </w:p>
    <w:p w14:paraId="096F1E52" w14:textId="77777777" w:rsidR="003770E1" w:rsidRPr="00824403" w:rsidRDefault="003770E1" w:rsidP="00824403">
      <w:pPr>
        <w:adjustRightInd w:val="0"/>
        <w:snapToGrid w:val="0"/>
        <w:spacing w:line="600" w:lineRule="exact"/>
        <w:ind w:firstLineChars="200" w:firstLine="640"/>
        <w:rPr>
          <w:rFonts w:ascii="黑体" w:eastAsia="黑体" w:hAnsi="黑体" w:hint="eastAsia"/>
          <w:sz w:val="32"/>
          <w:szCs w:val="32"/>
          <w14:ligatures w14:val="none"/>
        </w:rPr>
      </w:pPr>
      <w:r w:rsidRPr="00824403">
        <w:rPr>
          <w:rFonts w:ascii="黑体" w:eastAsia="黑体" w:hAnsi="黑体" w:hint="eastAsia"/>
          <w:sz w:val="32"/>
          <w:szCs w:val="32"/>
          <w14:ligatures w14:val="none"/>
        </w:rPr>
        <w:t>二、交易对手情况</w:t>
      </w:r>
    </w:p>
    <w:p w14:paraId="68213B98" w14:textId="4E47A948" w:rsidR="003770E1" w:rsidRPr="00824403" w:rsidRDefault="003770E1" w:rsidP="00824403">
      <w:pPr>
        <w:adjustRightInd w:val="0"/>
        <w:snapToGrid w:val="0"/>
        <w:spacing w:line="600" w:lineRule="exact"/>
        <w:ind w:firstLineChars="200" w:firstLine="640"/>
        <w:rPr>
          <w:rFonts w:ascii="仿宋_GB2312" w:eastAsia="仿宋_GB2312" w:hAnsi="仿宋" w:hint="eastAsia"/>
          <w:sz w:val="32"/>
          <w:szCs w:val="32"/>
          <w14:ligatures w14:val="none"/>
        </w:rPr>
      </w:pPr>
      <w:r w:rsidRPr="00824403">
        <w:rPr>
          <w:rFonts w:ascii="仿宋_GB2312" w:eastAsia="仿宋_GB2312" w:hAnsi="仿宋" w:hint="eastAsia"/>
          <w:sz w:val="32"/>
          <w:szCs w:val="32"/>
          <w14:ligatures w14:val="none"/>
        </w:rPr>
        <w:t>中国银行股份有限公司广东省分行，负责人宁效云，经营范围为：办理人民币存款、贷款、结算；办理票据贴现；代理发行金融债券；代理发行、兑付、销售政府债券；代理收付款项及代理保险业务；外汇存款；外汇贷款；外汇汇款；外币兑换；国际结算；外汇票据的承兑和贴现；总行授权的外汇借款；总行授权的外汇担保。结汇、售汇；总行授权的发行和代理发行股票以外的外币有价证券；代理买卖股票以外的外币有价证券；外汇信用卡的发行；代理国外信用卡的发行及付款；总行授权的代客外汇买卖；资信调查、咨询、见证业务，经中国银行业监督管理机构等监管部门批准的其</w:t>
      </w:r>
      <w:r w:rsidRPr="00824403">
        <w:rPr>
          <w:rFonts w:ascii="仿宋_GB2312" w:eastAsia="仿宋_GB2312" w:hAnsi="仿宋" w:hint="eastAsia"/>
          <w:sz w:val="32"/>
          <w:szCs w:val="32"/>
          <w14:ligatures w14:val="none"/>
        </w:rPr>
        <w:lastRenderedPageBreak/>
        <w:t>他业务。</w:t>
      </w:r>
    </w:p>
    <w:p w14:paraId="10D4BDE4" w14:textId="68BE8BE4" w:rsidR="003770E1" w:rsidRPr="00824403" w:rsidRDefault="000026DC" w:rsidP="00824403">
      <w:pPr>
        <w:adjustRightInd w:val="0"/>
        <w:snapToGrid w:val="0"/>
        <w:spacing w:line="600" w:lineRule="exact"/>
        <w:ind w:firstLineChars="200" w:firstLine="640"/>
        <w:rPr>
          <w:rFonts w:ascii="仿宋_GB2312" w:eastAsia="仿宋_GB2312" w:hAnsi="仿宋" w:hint="eastAsia"/>
          <w:sz w:val="32"/>
          <w:szCs w:val="32"/>
          <w14:ligatures w14:val="none"/>
        </w:rPr>
      </w:pPr>
      <w:r w:rsidRPr="00824403">
        <w:rPr>
          <w:rFonts w:ascii="仿宋_GB2312" w:eastAsia="仿宋_GB2312" w:hAnsi="仿宋" w:hint="eastAsia"/>
          <w:sz w:val="32"/>
          <w:szCs w:val="32"/>
          <w14:ligatures w14:val="none"/>
        </w:rPr>
        <w:t>中国银行股份有限公司广州珠江支行，负责人刘昕，经营范围为：担保服务（融资性担保除外）;货币银行服务;个人本外币兑换;保险兼业代理;外汇交易服务;本外币兑换;代销金融产品。</w:t>
      </w:r>
    </w:p>
    <w:p w14:paraId="06EAD901" w14:textId="1CE651BC" w:rsidR="003770E1" w:rsidRPr="00824403" w:rsidRDefault="000026DC" w:rsidP="00824403">
      <w:pPr>
        <w:adjustRightInd w:val="0"/>
        <w:snapToGrid w:val="0"/>
        <w:spacing w:line="600" w:lineRule="exact"/>
        <w:ind w:firstLineChars="200" w:firstLine="640"/>
        <w:rPr>
          <w:rFonts w:ascii="仿宋_GB2312" w:eastAsia="仿宋_GB2312" w:hAnsi="仿宋" w:hint="eastAsia"/>
          <w:sz w:val="32"/>
          <w:szCs w:val="32"/>
          <w14:ligatures w14:val="none"/>
        </w:rPr>
      </w:pPr>
      <w:r w:rsidRPr="00824403">
        <w:rPr>
          <w:rFonts w:ascii="仿宋_GB2312" w:eastAsia="仿宋_GB2312" w:hAnsi="仿宋" w:hint="eastAsia"/>
          <w:sz w:val="32"/>
          <w:szCs w:val="32"/>
          <w14:ligatures w14:val="none"/>
        </w:rPr>
        <w:t>中国银行股份有限公司广东省分行、中国银行股份有限公司广州珠江支行均</w:t>
      </w:r>
      <w:r w:rsidR="003770E1" w:rsidRPr="00824403">
        <w:rPr>
          <w:rFonts w:ascii="仿宋_GB2312" w:eastAsia="仿宋_GB2312" w:hAnsi="仿宋" w:hint="eastAsia"/>
          <w:sz w:val="32"/>
          <w:szCs w:val="32"/>
          <w14:ligatures w14:val="none"/>
        </w:rPr>
        <w:t>为中诚信托的关联方。</w:t>
      </w:r>
    </w:p>
    <w:p w14:paraId="7A93AB17" w14:textId="77777777" w:rsidR="003770E1" w:rsidRPr="00824403" w:rsidRDefault="003770E1" w:rsidP="00824403">
      <w:pPr>
        <w:adjustRightInd w:val="0"/>
        <w:snapToGrid w:val="0"/>
        <w:spacing w:line="600" w:lineRule="exact"/>
        <w:ind w:firstLineChars="200" w:firstLine="640"/>
        <w:rPr>
          <w:rFonts w:ascii="黑体" w:eastAsia="黑体" w:hAnsi="黑体" w:hint="eastAsia"/>
          <w:sz w:val="32"/>
          <w:szCs w:val="32"/>
          <w14:ligatures w14:val="none"/>
        </w:rPr>
      </w:pPr>
      <w:r w:rsidRPr="00824403">
        <w:rPr>
          <w:rFonts w:ascii="黑体" w:eastAsia="黑体" w:hAnsi="黑体" w:hint="eastAsia"/>
          <w:sz w:val="32"/>
          <w:szCs w:val="32"/>
          <w14:ligatures w14:val="none"/>
        </w:rPr>
        <w:t>三、定价政策</w:t>
      </w:r>
    </w:p>
    <w:p w14:paraId="0E17863F" w14:textId="77777777" w:rsidR="003770E1" w:rsidRPr="00824403" w:rsidRDefault="003770E1" w:rsidP="00824403">
      <w:pPr>
        <w:adjustRightInd w:val="0"/>
        <w:snapToGrid w:val="0"/>
        <w:spacing w:line="600" w:lineRule="exact"/>
        <w:ind w:firstLineChars="200" w:firstLine="640"/>
        <w:rPr>
          <w:rFonts w:ascii="仿宋_GB2312" w:eastAsia="仿宋_GB2312" w:hAnsi="仿宋" w:hint="eastAsia"/>
          <w:sz w:val="32"/>
          <w:szCs w:val="32"/>
          <w14:ligatures w14:val="none"/>
        </w:rPr>
      </w:pPr>
      <w:r w:rsidRPr="00824403">
        <w:rPr>
          <w:rFonts w:ascii="仿宋_GB2312" w:eastAsia="仿宋_GB2312" w:hAnsi="仿宋" w:hint="eastAsia"/>
          <w:sz w:val="32"/>
          <w:szCs w:val="32"/>
          <w14:ligatures w14:val="none"/>
        </w:rPr>
        <w:t>交易价格由交易各方在公平协商的基础上按照市场价格为交易基准订立。</w:t>
      </w:r>
    </w:p>
    <w:p w14:paraId="3785E026" w14:textId="77777777" w:rsidR="003770E1" w:rsidRPr="00824403" w:rsidRDefault="003770E1" w:rsidP="00824403">
      <w:pPr>
        <w:adjustRightInd w:val="0"/>
        <w:snapToGrid w:val="0"/>
        <w:spacing w:line="600" w:lineRule="exact"/>
        <w:ind w:firstLineChars="200" w:firstLine="640"/>
        <w:rPr>
          <w:rFonts w:ascii="黑体" w:eastAsia="黑体" w:hAnsi="黑体" w:hint="eastAsia"/>
          <w:sz w:val="32"/>
          <w:szCs w:val="32"/>
          <w14:ligatures w14:val="none"/>
        </w:rPr>
      </w:pPr>
      <w:r w:rsidRPr="00824403">
        <w:rPr>
          <w:rFonts w:ascii="黑体" w:eastAsia="黑体" w:hAnsi="黑体" w:hint="eastAsia"/>
          <w:sz w:val="32"/>
          <w:szCs w:val="32"/>
          <w14:ligatures w14:val="none"/>
        </w:rPr>
        <w:t>四、关联交易金额</w:t>
      </w:r>
    </w:p>
    <w:p w14:paraId="25F4F3AA" w14:textId="33DFB82E" w:rsidR="003770E1" w:rsidRPr="00824403" w:rsidRDefault="003770E1" w:rsidP="00824403">
      <w:pPr>
        <w:adjustRightInd w:val="0"/>
        <w:snapToGrid w:val="0"/>
        <w:spacing w:line="600" w:lineRule="exact"/>
        <w:ind w:firstLineChars="200" w:firstLine="640"/>
        <w:rPr>
          <w:rFonts w:ascii="仿宋_GB2312" w:eastAsia="仿宋_GB2312" w:hAnsi="仿宋" w:hint="eastAsia"/>
          <w:sz w:val="32"/>
          <w:szCs w:val="32"/>
          <w14:ligatures w14:val="none"/>
        </w:rPr>
      </w:pPr>
      <w:r w:rsidRPr="00824403">
        <w:rPr>
          <w:rFonts w:ascii="仿宋_GB2312" w:eastAsia="仿宋_GB2312" w:hAnsi="仿宋" w:hint="eastAsia"/>
          <w:sz w:val="32"/>
          <w:szCs w:val="32"/>
          <w14:ligatures w14:val="none"/>
        </w:rPr>
        <w:t>在信托计划存续期限内，</w:t>
      </w:r>
      <w:r w:rsidR="000026DC" w:rsidRPr="00824403">
        <w:rPr>
          <w:rFonts w:ascii="仿宋_GB2312" w:eastAsia="仿宋_GB2312" w:hAnsi="仿宋" w:hint="eastAsia"/>
          <w:sz w:val="32"/>
          <w:szCs w:val="32"/>
          <w14:ligatures w14:val="none"/>
        </w:rPr>
        <w:t>中国银行股份有限公司广东省分行</w:t>
      </w:r>
      <w:r w:rsidRPr="00824403">
        <w:rPr>
          <w:rFonts w:ascii="仿宋_GB2312" w:eastAsia="仿宋_GB2312" w:hAnsi="仿宋" w:hint="eastAsia"/>
          <w:sz w:val="32"/>
          <w:szCs w:val="32"/>
          <w14:ligatures w14:val="none"/>
        </w:rPr>
        <w:t>预计收取保管费金额共</w:t>
      </w:r>
      <w:r w:rsidR="00E96C69" w:rsidRPr="00824403">
        <w:rPr>
          <w:rFonts w:ascii="仿宋_GB2312" w:eastAsia="仿宋_GB2312" w:hAnsi="仿宋" w:hint="eastAsia"/>
          <w:sz w:val="32"/>
          <w:szCs w:val="32"/>
          <w14:ligatures w14:val="none"/>
        </w:rPr>
        <w:t>30.42</w:t>
      </w:r>
      <w:r w:rsidRPr="00824403">
        <w:rPr>
          <w:rFonts w:ascii="仿宋_GB2312" w:eastAsia="仿宋_GB2312" w:hAnsi="仿宋" w:hint="eastAsia"/>
          <w:sz w:val="32"/>
          <w:szCs w:val="32"/>
          <w14:ligatures w14:val="none"/>
        </w:rPr>
        <w:t>万元</w:t>
      </w:r>
      <w:r w:rsidR="000026DC" w:rsidRPr="00824403">
        <w:rPr>
          <w:rFonts w:ascii="仿宋_GB2312" w:eastAsia="仿宋_GB2312" w:hAnsi="仿宋" w:hint="eastAsia"/>
          <w:sz w:val="32"/>
          <w:szCs w:val="32"/>
          <w14:ligatures w14:val="none"/>
        </w:rPr>
        <w:t>；中国银行股份有限公司广州珠江支行不收取账户监管费</w:t>
      </w:r>
      <w:r w:rsidRPr="00824403">
        <w:rPr>
          <w:rFonts w:ascii="仿宋_GB2312" w:eastAsia="仿宋_GB2312" w:hAnsi="仿宋" w:hint="eastAsia"/>
          <w:sz w:val="32"/>
          <w:szCs w:val="32"/>
          <w14:ligatures w14:val="none"/>
        </w:rPr>
        <w:t>。</w:t>
      </w:r>
    </w:p>
    <w:p w14:paraId="41347CC7" w14:textId="77777777" w:rsidR="003770E1" w:rsidRPr="00824403" w:rsidRDefault="003770E1" w:rsidP="00824403">
      <w:pPr>
        <w:adjustRightInd w:val="0"/>
        <w:snapToGrid w:val="0"/>
        <w:spacing w:line="600" w:lineRule="exact"/>
        <w:ind w:firstLineChars="200" w:firstLine="640"/>
        <w:rPr>
          <w:rFonts w:ascii="仿宋_GB2312" w:eastAsia="仿宋_GB2312" w:hAnsi="仿宋" w:hint="eastAsia"/>
          <w:sz w:val="32"/>
          <w:szCs w:val="32"/>
          <w14:ligatures w14:val="none"/>
        </w:rPr>
      </w:pPr>
      <w:r w:rsidRPr="00824403">
        <w:rPr>
          <w:rFonts w:ascii="黑体" w:eastAsia="黑体" w:hAnsi="黑体" w:hint="eastAsia"/>
          <w:sz w:val="32"/>
          <w:szCs w:val="32"/>
          <w14:ligatures w14:val="none"/>
        </w:rPr>
        <w:t>五、关联交易审议审批情况</w:t>
      </w:r>
    </w:p>
    <w:p w14:paraId="15A3A4BA" w14:textId="59BF2A95" w:rsidR="003770E1" w:rsidRPr="00824403" w:rsidRDefault="003770E1" w:rsidP="00824403">
      <w:pPr>
        <w:adjustRightInd w:val="0"/>
        <w:snapToGrid w:val="0"/>
        <w:spacing w:line="600" w:lineRule="exact"/>
        <w:ind w:firstLineChars="200" w:firstLine="640"/>
        <w:rPr>
          <w:rFonts w:ascii="仿宋_GB2312" w:eastAsia="仿宋_GB2312" w:hAnsi="仿宋" w:hint="eastAsia"/>
          <w:sz w:val="32"/>
          <w:szCs w:val="32"/>
          <w14:ligatures w14:val="none"/>
        </w:rPr>
      </w:pPr>
      <w:r w:rsidRPr="00824403">
        <w:rPr>
          <w:rFonts w:ascii="仿宋_GB2312" w:eastAsia="仿宋_GB2312" w:hAnsi="仿宋" w:hint="eastAsia"/>
          <w:sz w:val="32"/>
          <w:szCs w:val="32"/>
          <w14:ligatures w14:val="none"/>
        </w:rPr>
        <w:t>该笔交易已按照公司内部管理制度完成审查。</w:t>
      </w:r>
    </w:p>
    <w:p w14:paraId="41F34385" w14:textId="77777777" w:rsidR="003770E1" w:rsidRPr="00824403" w:rsidRDefault="003770E1" w:rsidP="00824403">
      <w:pPr>
        <w:adjustRightInd w:val="0"/>
        <w:snapToGrid w:val="0"/>
        <w:spacing w:line="600" w:lineRule="exact"/>
        <w:ind w:firstLineChars="200" w:firstLine="640"/>
        <w:rPr>
          <w:rFonts w:ascii="仿宋" w:eastAsia="仿宋" w:hAnsi="仿宋" w:hint="eastAsia"/>
        </w:rPr>
      </w:pPr>
      <w:r w:rsidRPr="00824403">
        <w:rPr>
          <w:rFonts w:ascii="仿宋_GB2312" w:eastAsia="仿宋_GB2312" w:hAnsi="仿宋" w:hint="eastAsia"/>
          <w:sz w:val="32"/>
          <w:szCs w:val="32"/>
          <w14:ligatures w14:val="none"/>
        </w:rPr>
        <w:t>特此公告。</w:t>
      </w:r>
    </w:p>
    <w:p w14:paraId="74149D4B" w14:textId="77777777" w:rsidR="003770E1" w:rsidRPr="00824403" w:rsidRDefault="003770E1" w:rsidP="003770E1">
      <w:pPr>
        <w:rPr>
          <w:rFonts w:ascii="仿宋" w:eastAsia="仿宋" w:hAnsi="仿宋" w:hint="eastAsia"/>
        </w:rPr>
      </w:pPr>
    </w:p>
    <w:p w14:paraId="78A68C1D" w14:textId="77777777" w:rsidR="00824403" w:rsidRPr="00C1534B" w:rsidRDefault="00824403" w:rsidP="00824403">
      <w:pPr>
        <w:adjustRightInd w:val="0"/>
        <w:snapToGrid w:val="0"/>
        <w:spacing w:line="600" w:lineRule="exact"/>
        <w:ind w:firstLineChars="200" w:firstLine="640"/>
        <w:jc w:val="right"/>
        <w:rPr>
          <w:rFonts w:ascii="仿宋_GB2312" w:eastAsia="仿宋_GB2312" w:hAnsi="仿宋" w:hint="eastAsia"/>
          <w:sz w:val="32"/>
          <w:szCs w:val="32"/>
        </w:rPr>
      </w:pPr>
      <w:r w:rsidRPr="00C1534B">
        <w:rPr>
          <w:rFonts w:ascii="仿宋_GB2312" w:eastAsia="仿宋_GB2312" w:hAnsi="仿宋" w:hint="eastAsia"/>
          <w:sz w:val="32"/>
          <w:szCs w:val="32"/>
        </w:rPr>
        <w:t>中诚信托有限责任公司</w:t>
      </w:r>
    </w:p>
    <w:p w14:paraId="27F165D1" w14:textId="45AF2FA5" w:rsidR="003770E1" w:rsidRPr="00824403" w:rsidRDefault="00824403" w:rsidP="00824403">
      <w:pPr>
        <w:wordWrap w:val="0"/>
        <w:jc w:val="right"/>
        <w:rPr>
          <w:rFonts w:ascii="仿宋" w:eastAsia="仿宋" w:hAnsi="仿宋" w:hint="eastAsia"/>
        </w:rPr>
      </w:pPr>
      <w:r>
        <w:rPr>
          <w:rFonts w:ascii="仿宋_GB2312" w:eastAsia="仿宋_GB2312" w:hAnsi="仿宋" w:hint="eastAsia"/>
          <w:sz w:val="32"/>
          <w:szCs w:val="32"/>
        </w:rPr>
        <w:t>2024年</w:t>
      </w:r>
      <w:r w:rsidR="009D3CDF">
        <w:rPr>
          <w:rFonts w:ascii="仿宋_GB2312" w:eastAsia="仿宋_GB2312" w:hAnsi="仿宋" w:hint="eastAsia"/>
          <w:sz w:val="32"/>
          <w:szCs w:val="32"/>
        </w:rPr>
        <w:t>11</w:t>
      </w:r>
      <w:r>
        <w:rPr>
          <w:rFonts w:ascii="仿宋_GB2312" w:eastAsia="仿宋_GB2312" w:hAnsi="仿宋" w:hint="eastAsia"/>
          <w:sz w:val="32"/>
          <w:szCs w:val="32"/>
        </w:rPr>
        <w:t>月</w:t>
      </w:r>
      <w:r w:rsidR="009D3CDF">
        <w:rPr>
          <w:rFonts w:ascii="仿宋_GB2312" w:eastAsia="仿宋_GB2312" w:hAnsi="仿宋" w:hint="eastAsia"/>
          <w:sz w:val="32"/>
          <w:szCs w:val="32"/>
        </w:rPr>
        <w:t>26</w:t>
      </w:r>
      <w:r>
        <w:rPr>
          <w:rFonts w:ascii="仿宋_GB2312" w:eastAsia="仿宋_GB2312" w:hAnsi="仿宋" w:hint="eastAsia"/>
          <w:sz w:val="32"/>
          <w:szCs w:val="32"/>
        </w:rPr>
        <w:t>日</w:t>
      </w:r>
    </w:p>
    <w:sectPr w:rsidR="003770E1" w:rsidRPr="008244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CD0B6" w14:textId="77777777" w:rsidR="00664D78" w:rsidRDefault="00664D78" w:rsidP="00824403">
      <w:pPr>
        <w:rPr>
          <w:rFonts w:hint="eastAsia"/>
        </w:rPr>
      </w:pPr>
      <w:r>
        <w:separator/>
      </w:r>
    </w:p>
  </w:endnote>
  <w:endnote w:type="continuationSeparator" w:id="0">
    <w:p w14:paraId="24A26C6F" w14:textId="77777777" w:rsidR="00664D78" w:rsidRDefault="00664D78" w:rsidP="008244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B9720" w14:textId="77777777" w:rsidR="00664D78" w:rsidRDefault="00664D78" w:rsidP="00824403">
      <w:pPr>
        <w:rPr>
          <w:rFonts w:hint="eastAsia"/>
        </w:rPr>
      </w:pPr>
      <w:r>
        <w:separator/>
      </w:r>
    </w:p>
  </w:footnote>
  <w:footnote w:type="continuationSeparator" w:id="0">
    <w:p w14:paraId="1068AB9E" w14:textId="77777777" w:rsidR="00664D78" w:rsidRDefault="00664D78" w:rsidP="0082440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E1"/>
    <w:rsid w:val="000026DC"/>
    <w:rsid w:val="003562D8"/>
    <w:rsid w:val="0037282D"/>
    <w:rsid w:val="003770E1"/>
    <w:rsid w:val="00664D78"/>
    <w:rsid w:val="00824403"/>
    <w:rsid w:val="008C0B01"/>
    <w:rsid w:val="009545D0"/>
    <w:rsid w:val="009D3CDF"/>
    <w:rsid w:val="00B55837"/>
    <w:rsid w:val="00BA0B40"/>
    <w:rsid w:val="00E60C49"/>
    <w:rsid w:val="00E94487"/>
    <w:rsid w:val="00E96C69"/>
    <w:rsid w:val="00F02F7A"/>
    <w:rsid w:val="00FA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E1237"/>
  <w15:chartTrackingRefBased/>
  <w15:docId w15:val="{13A5EA28-D2DB-47A7-AC61-C83AD678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3770E1"/>
  </w:style>
  <w:style w:type="character" w:styleId="a4">
    <w:name w:val="Hyperlink"/>
    <w:basedOn w:val="a0"/>
    <w:uiPriority w:val="99"/>
    <w:unhideWhenUsed/>
    <w:rsid w:val="003770E1"/>
    <w:rPr>
      <w:color w:val="0563C1" w:themeColor="hyperlink"/>
      <w:u w:val="single"/>
    </w:rPr>
  </w:style>
  <w:style w:type="character" w:styleId="a5">
    <w:name w:val="Unresolved Mention"/>
    <w:basedOn w:val="a0"/>
    <w:uiPriority w:val="99"/>
    <w:semiHidden/>
    <w:unhideWhenUsed/>
    <w:rsid w:val="003770E1"/>
    <w:rPr>
      <w:color w:val="605E5C"/>
      <w:shd w:val="clear" w:color="auto" w:fill="E1DFDD"/>
    </w:rPr>
  </w:style>
  <w:style w:type="paragraph" w:styleId="a6">
    <w:name w:val="header"/>
    <w:basedOn w:val="a"/>
    <w:link w:val="a7"/>
    <w:uiPriority w:val="99"/>
    <w:unhideWhenUsed/>
    <w:rsid w:val="00824403"/>
    <w:pPr>
      <w:tabs>
        <w:tab w:val="center" w:pos="4153"/>
        <w:tab w:val="right" w:pos="8306"/>
      </w:tabs>
      <w:snapToGrid w:val="0"/>
      <w:jc w:val="center"/>
    </w:pPr>
    <w:rPr>
      <w:sz w:val="18"/>
      <w:szCs w:val="18"/>
    </w:rPr>
  </w:style>
  <w:style w:type="character" w:customStyle="1" w:styleId="a7">
    <w:name w:val="页眉 字符"/>
    <w:basedOn w:val="a0"/>
    <w:link w:val="a6"/>
    <w:uiPriority w:val="99"/>
    <w:rsid w:val="00824403"/>
    <w:rPr>
      <w:sz w:val="18"/>
      <w:szCs w:val="18"/>
    </w:rPr>
  </w:style>
  <w:style w:type="paragraph" w:styleId="a8">
    <w:name w:val="footer"/>
    <w:basedOn w:val="a"/>
    <w:link w:val="a9"/>
    <w:uiPriority w:val="99"/>
    <w:unhideWhenUsed/>
    <w:rsid w:val="00824403"/>
    <w:pPr>
      <w:tabs>
        <w:tab w:val="center" w:pos="4153"/>
        <w:tab w:val="right" w:pos="8306"/>
      </w:tabs>
      <w:snapToGrid w:val="0"/>
      <w:jc w:val="left"/>
    </w:pPr>
    <w:rPr>
      <w:sz w:val="18"/>
      <w:szCs w:val="18"/>
    </w:rPr>
  </w:style>
  <w:style w:type="character" w:customStyle="1" w:styleId="a9">
    <w:name w:val="页脚 字符"/>
    <w:basedOn w:val="a0"/>
    <w:link w:val="a8"/>
    <w:uiPriority w:val="99"/>
    <w:rsid w:val="008244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683537">
      <w:bodyDiv w:val="1"/>
      <w:marLeft w:val="0"/>
      <w:marRight w:val="0"/>
      <w:marTop w:val="0"/>
      <w:marBottom w:val="0"/>
      <w:divBdr>
        <w:top w:val="none" w:sz="0" w:space="0" w:color="auto"/>
        <w:left w:val="none" w:sz="0" w:space="0" w:color="auto"/>
        <w:bottom w:val="none" w:sz="0" w:space="0" w:color="auto"/>
        <w:right w:val="none" w:sz="0" w:space="0" w:color="auto"/>
      </w:divBdr>
    </w:div>
    <w:div w:id="211867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8A206-FA41-4F4C-88DD-70519516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122</Words>
  <Characters>701</Characters>
  <Application>Microsoft Office Word</Application>
  <DocSecurity>2</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yifan gao</dc:creator>
  <cp:keywords/>
  <dc:description/>
  <cp:lastModifiedBy>yifan gao</cp:lastModifiedBy>
  <cp:revision>5</cp:revision>
  <dcterms:created xsi:type="dcterms:W3CDTF">2024-11-20T02:31:00Z</dcterms:created>
  <dcterms:modified xsi:type="dcterms:W3CDTF">2024-11-27T03:04:00Z</dcterms:modified>
</cp:coreProperties>
</file>